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8C" w:rsidRDefault="00541360" w:rsidP="00DE3C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3C93">
        <w:rPr>
          <w:rFonts w:ascii="Arial" w:hAnsi="Arial" w:cs="Arial"/>
          <w:b/>
          <w:sz w:val="24"/>
          <w:szCs w:val="24"/>
        </w:rPr>
        <w:t xml:space="preserve">Tabla de actualización y conservación de la información pública </w:t>
      </w:r>
      <w:r w:rsidR="00D5117B" w:rsidRPr="00DE3C93">
        <w:rPr>
          <w:rFonts w:ascii="Arial" w:hAnsi="Arial" w:cs="Arial"/>
          <w:b/>
          <w:sz w:val="24"/>
          <w:szCs w:val="24"/>
        </w:rPr>
        <w:t>del TEEC</w:t>
      </w:r>
      <w:r w:rsidR="00ED106F">
        <w:rPr>
          <w:rFonts w:ascii="Arial" w:hAnsi="Arial" w:cs="Arial"/>
          <w:b/>
          <w:sz w:val="24"/>
          <w:szCs w:val="24"/>
        </w:rPr>
        <w:t xml:space="preserve"> </w:t>
      </w:r>
      <w:r w:rsidR="00ED106F" w:rsidRPr="00DE3C93">
        <w:rPr>
          <w:rFonts w:ascii="Arial" w:hAnsi="Arial" w:cs="Arial"/>
          <w:b/>
          <w:sz w:val="24"/>
          <w:szCs w:val="24"/>
        </w:rPr>
        <w:t xml:space="preserve">derivada de las obligaciones de </w:t>
      </w:r>
      <w:r w:rsidRPr="00DE3C93">
        <w:rPr>
          <w:rFonts w:ascii="Arial" w:hAnsi="Arial" w:cs="Arial"/>
          <w:b/>
          <w:sz w:val="24"/>
          <w:szCs w:val="24"/>
        </w:rPr>
        <w:t>transparencia</w:t>
      </w:r>
      <w:r w:rsidR="00271BEE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 w:rsidR="00D5117B" w:rsidRPr="00DE3C93">
        <w:rPr>
          <w:rFonts w:ascii="Arial" w:hAnsi="Arial" w:cs="Arial"/>
          <w:b/>
          <w:sz w:val="24"/>
          <w:szCs w:val="24"/>
        </w:rPr>
        <w:t>.</w:t>
      </w:r>
    </w:p>
    <w:p w:rsidR="00271BEE" w:rsidRPr="00DE3C93" w:rsidRDefault="00271BEE" w:rsidP="00DE3C9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545"/>
        <w:gridCol w:w="3177"/>
        <w:gridCol w:w="3168"/>
      </w:tblGrid>
      <w:tr w:rsidR="00271BEE" w:rsidRPr="00271BEE" w:rsidTr="00F628C6">
        <w:tc>
          <w:tcPr>
            <w:tcW w:w="4106" w:type="dxa"/>
            <w:shd w:val="clear" w:color="auto" w:fill="A6A6A6" w:themeFill="background1" w:themeFillShade="A6"/>
          </w:tcPr>
          <w:p w:rsidR="00271BEE" w:rsidRPr="00ED106F" w:rsidRDefault="00271BEE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Artículo 74 de Ley de Transparencia y Acceso a la Información Pública del Estado de Campeche</w:t>
            </w:r>
          </w:p>
        </w:tc>
        <w:tc>
          <w:tcPr>
            <w:tcW w:w="2545" w:type="dxa"/>
            <w:shd w:val="clear" w:color="auto" w:fill="A6A6A6" w:themeFill="background1" w:themeFillShade="A6"/>
          </w:tcPr>
          <w:p w:rsidR="00271BEE" w:rsidRPr="00ED106F" w:rsidRDefault="00271BEE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Periodo de actualización</w:t>
            </w:r>
          </w:p>
        </w:tc>
        <w:tc>
          <w:tcPr>
            <w:tcW w:w="3177" w:type="dxa"/>
            <w:shd w:val="clear" w:color="auto" w:fill="A6A6A6" w:themeFill="background1" w:themeFillShade="A6"/>
          </w:tcPr>
          <w:p w:rsidR="00271BEE" w:rsidRPr="00ED106F" w:rsidRDefault="00271BEE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Observaciones acerca de la información a publicar</w:t>
            </w:r>
          </w:p>
        </w:tc>
        <w:tc>
          <w:tcPr>
            <w:tcW w:w="3168" w:type="dxa"/>
            <w:shd w:val="clear" w:color="auto" w:fill="A6A6A6" w:themeFill="background1" w:themeFillShade="A6"/>
          </w:tcPr>
          <w:p w:rsidR="00271BEE" w:rsidRPr="00ED106F" w:rsidRDefault="00271BEE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  <w:b/>
              </w:rPr>
              <w:t>Periodo de conservación de la información</w:t>
            </w:r>
          </w:p>
        </w:tc>
      </w:tr>
      <w:tr w:rsidR="00271BEE" w:rsidRPr="00271BEE" w:rsidTr="00271BEE">
        <w:tc>
          <w:tcPr>
            <w:tcW w:w="4106" w:type="dxa"/>
            <w:shd w:val="clear" w:color="auto" w:fill="auto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271BEE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I</w:t>
            </w:r>
            <w:r w:rsidR="00640AC3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545" w:type="dxa"/>
            <w:shd w:val="clear" w:color="auto" w:fill="auto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  <w:shd w:val="clear" w:color="auto" w:fill="auto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 xml:space="preserve">Cuando Únicamente cuando se expida alguna reforma, adición, derogación, abrogación decrete, reforme, adicione, derogue o abrogue o se realice cualquier tipo de modificación al cualquier norma marco normativo aplicable al sujeto obligado, la información deberá publicarse y/o actualizarse en un plazo no mayor a 15 días hábiles a partir de su publicación en el Diario Oficial de la Federación (DOF), Periódico o Gaceta Oficial, o acuerdo de </w:t>
            </w:r>
            <w:r w:rsidRPr="00ED106F">
              <w:rPr>
                <w:rFonts w:ascii="Arial" w:hAnsi="Arial" w:cs="Arial"/>
              </w:rPr>
              <w:lastRenderedPageBreak/>
              <w:t>aprobación en el caso de normas publicadas por medios distintos, como el sitio de Internet</w:t>
            </w:r>
          </w:p>
        </w:tc>
        <w:tc>
          <w:tcPr>
            <w:tcW w:w="3168" w:type="dxa"/>
            <w:shd w:val="clear" w:color="auto" w:fill="auto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II</w:t>
            </w:r>
            <w:r w:rsid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15 días hábiles después de la aprobación de alguna modificación a la estructura orgánica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III</w:t>
            </w:r>
            <w:r w:rsid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facultades de cada Área;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15 días hábiles después de alguna modificación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40AC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IV</w:t>
            </w:r>
            <w:r w:rsid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  <w:b/>
              </w:rPr>
              <w:t xml:space="preserve"> </w:t>
            </w:r>
            <w:r w:rsidRPr="00ED106F">
              <w:rPr>
                <w:rFonts w:ascii="Arial" w:hAnsi="Arial" w:cs="Arial"/>
              </w:rPr>
              <w:t>Las metas y objetivos de las Áreas de conformidad con sus programas operativos;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Durante el primer trimestre del ejercicio en curso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los últimos seis ejercicios anteriores.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V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indicadores relacionados con temas de interés público o trascendencia social que conforme a sus funciones, deban establecer;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57A31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los seis ejercicios anteriores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VI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indicadores que permitan rendir cuenta de sus objetivos y resultados;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Default="007B5FD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los seis ejercicios anteriores</w:t>
            </w:r>
          </w:p>
          <w:p w:rsidR="007009BA" w:rsidRPr="00ED106F" w:rsidRDefault="007009BA" w:rsidP="00F628C6">
            <w:pPr>
              <w:jc w:val="center"/>
              <w:rPr>
                <w:rFonts w:ascii="Arial" w:hAnsi="Arial" w:cs="Arial"/>
              </w:rPr>
            </w:pP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VII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15 días hábiles después de alguna modificación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vigente.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VIII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Semestral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caso de que exista alguna modificación antes de la conclusión del periodo, la información deberá actualizarse a más tardar en los 15 días hábiles posteriores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inmediato anterior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IX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gastos de representación y viáticos, así como el objeto e informe de comisión correspondiente;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7B5FD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Default="007B5FD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</w:t>
            </w:r>
          </w:p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7009BA" w:rsidRPr="00ED106F" w:rsidRDefault="007009BA" w:rsidP="00F628C6">
            <w:pPr>
              <w:jc w:val="center"/>
              <w:rPr>
                <w:rFonts w:ascii="Arial" w:hAnsi="Arial" w:cs="Arial"/>
              </w:rPr>
            </w:pP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</w:t>
            </w:r>
            <w:r w:rsidR="00ED106F">
              <w:rPr>
                <w:rFonts w:ascii="Arial" w:hAnsi="Arial" w:cs="Arial"/>
              </w:rPr>
              <w:t>.</w:t>
            </w:r>
            <w:r w:rsidRPr="00ED106F">
              <w:rPr>
                <w:rFonts w:ascii="Arial" w:hAnsi="Arial" w:cs="Arial"/>
              </w:rPr>
              <w:t xml:space="preserve"> El número total de las plazas y del personal de base y confianza, especificando el total de las vacantes, por nivel de puesto, para cada unidad administrativa;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XII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XIII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domicilio de la Unidad de Transparencia, además de la dirección electrónica donde podrán recibirse las solicitudes para obtener la información;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 15 días hábiles después de alguna modificación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5E14D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XIV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convocatorias a concursos para ocupar cargos públicos y los resultados de los mismos;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A11A2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A11A2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se actualizará la información, previo a la fecha de vencimiento de las convocatorias para ocupar cargos públicos; de conformidad con la normativa aplicable al sujeto obligado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A11A2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 y del ejercicio en curso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  <w:b/>
              </w:rPr>
              <w:t>Fracción XV</w:t>
            </w:r>
            <w:r w:rsidR="00ED106F" w:rsidRPr="00ED106F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de los programas de subsidios, estímulos y apoyos, en el que se deberá informar respecto de los programas de transferencia, de servicios, de infraestructura social y de subsidio, en los que se deberá contener lo siguiente:...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La información de los programas que se desarrollarán a lo largo del ejercicio deberá publicarse durante el primer mes del año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los dos ejercicios anteriores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XVI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Cuando se establezca, modifique o derogue cualquier norma laboral aplicable al sujeto obligado, la información normativa deberá o actualizarse en un plazo no mayor a 15 días hábiles a partir de su publicación y/o aprobación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En cuanto a la normatividad: la información vigente. Respecto a los recursos entregados a sindicatos: la información del ejercicio en curso y la correspondiente a los dos ejercicios anteriores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XVII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curricular, desde el nivel de jefe de departamento o equivalente, hasta el titular del sujeto obligado, así como, en su caso,</w:t>
            </w:r>
            <w:r w:rsidRPr="00ED106F">
              <w:rPr>
                <w:rFonts w:ascii="Arial" w:hAnsi="Arial" w:cs="Arial"/>
              </w:rPr>
              <w:t xml:space="preserve"> </w:t>
            </w:r>
            <w:r w:rsidRPr="00ED106F">
              <w:rPr>
                <w:rFonts w:ascii="Arial" w:hAnsi="Arial" w:cs="Arial"/>
              </w:rPr>
              <w:t>las sanciones administrativas de que haya sido objeto;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15 días hábiles después de alguna modificación a la información de los servidores públicos que integran el sujeto obligado,</w:t>
            </w:r>
            <w:r w:rsidRPr="00ED106F">
              <w:rPr>
                <w:rFonts w:ascii="Arial" w:hAnsi="Arial" w:cs="Arial"/>
              </w:rPr>
              <w:t xml:space="preserve"> </w:t>
            </w:r>
            <w:r w:rsidRPr="00ED106F">
              <w:rPr>
                <w:rFonts w:ascii="Arial" w:hAnsi="Arial" w:cs="Arial"/>
              </w:rPr>
              <w:t>así como su información curricular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610B46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XVIII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listado de Servidores Públicos con sanciones administrativas definitivas, especificando la causa de sanción y la disposición;</w:t>
            </w:r>
          </w:p>
        </w:tc>
        <w:tc>
          <w:tcPr>
            <w:tcW w:w="2545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DC3587" w:rsidRDefault="00DC3587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 xml:space="preserve">Información del ejercicio en curso y respecto de los(as) servidores(as) públicos(as) que hayan sido sancionados y permanezcan en el sujeto obligado al momento de la </w:t>
            </w:r>
            <w:r w:rsidRPr="00ED106F">
              <w:rPr>
                <w:rFonts w:ascii="Arial" w:hAnsi="Arial" w:cs="Arial"/>
              </w:rPr>
              <w:lastRenderedPageBreak/>
              <w:t>actualización de información, se conservará la información, la correspondiente a dos ejercicios anteriores.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XIX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servicios que ofrecen señalando los requisitos para acceder a ellos;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trámites, requisitos y formatos que ofrecen;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 y anual respecto del presupuesto anual asignado y la cuenta pública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114DD8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seis ejercicios anteriores.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relativa a la deuda pública, en términos de la normatividad aplicable;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Con datos mensuales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seis ejercicios anteriores.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Anual, respecto al Programa de Comunicación social o equivalente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dos ejercicios anteriores.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XXIV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informes de resultados de las auditorías al ejercicio presupuestal de cada sujeto obligado </w:t>
            </w:r>
            <w:r w:rsidRPr="00ED106F">
              <w:rPr>
                <w:rFonts w:ascii="Arial" w:hAnsi="Arial" w:cs="Arial"/>
              </w:rPr>
              <w:lastRenderedPageBreak/>
              <w:t>que se realicen y, en su caso, las aclaraciones que correspondan;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 xml:space="preserve">Información generada en el ejercicio en curso y la </w:t>
            </w:r>
            <w:r w:rsidRPr="00ED106F">
              <w:rPr>
                <w:rFonts w:ascii="Arial" w:hAnsi="Arial" w:cs="Arial"/>
              </w:rPr>
              <w:lastRenderedPageBreak/>
              <w:t>correspondiente a los tres ejercicios anteriores</w:t>
            </w:r>
          </w:p>
        </w:tc>
      </w:tr>
      <w:tr w:rsidR="00271BEE" w:rsidRPr="00271BEE" w:rsidTr="00271BEE">
        <w:tc>
          <w:tcPr>
            <w:tcW w:w="4106" w:type="dxa"/>
          </w:tcPr>
          <w:p w:rsidR="000D03D0" w:rsidRDefault="000D03D0" w:rsidP="00B01C8B">
            <w:pPr>
              <w:jc w:val="center"/>
              <w:rPr>
                <w:rFonts w:ascii="Arial" w:hAnsi="Arial" w:cs="Arial"/>
                <w:b/>
              </w:rPr>
            </w:pPr>
          </w:p>
          <w:p w:rsidR="00271BEE" w:rsidRPr="00ED106F" w:rsidRDefault="002B0C72" w:rsidP="00B01C8B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resultado de la </w:t>
            </w:r>
            <w:proofErr w:type="spellStart"/>
            <w:r w:rsidRPr="00ED106F">
              <w:rPr>
                <w:rFonts w:ascii="Arial" w:hAnsi="Arial" w:cs="Arial"/>
              </w:rPr>
              <w:t>dictaminación</w:t>
            </w:r>
            <w:proofErr w:type="spellEnd"/>
            <w:r w:rsidRPr="00ED106F">
              <w:rPr>
                <w:rFonts w:ascii="Arial" w:hAnsi="Arial" w:cs="Arial"/>
              </w:rPr>
              <w:t xml:space="preserve"> de los estados</w:t>
            </w:r>
            <w:r w:rsidR="00B01C8B">
              <w:rPr>
                <w:rFonts w:ascii="Arial" w:hAnsi="Arial" w:cs="Arial"/>
              </w:rPr>
              <w:t xml:space="preserve"> </w:t>
            </w:r>
            <w:r w:rsidRPr="00ED106F">
              <w:rPr>
                <w:rFonts w:ascii="Arial" w:hAnsi="Arial" w:cs="Arial"/>
              </w:rPr>
              <w:t>financieros;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 xml:space="preserve">En su caso, 15 días hábiles después de que el contador público independiente entregue una </w:t>
            </w:r>
            <w:proofErr w:type="spellStart"/>
            <w:r w:rsidRPr="00ED106F">
              <w:rPr>
                <w:rFonts w:ascii="Arial" w:hAnsi="Arial" w:cs="Arial"/>
              </w:rPr>
              <w:t>dictaminación</w:t>
            </w:r>
            <w:proofErr w:type="spellEnd"/>
            <w:r w:rsidRPr="00ED106F">
              <w:rPr>
                <w:rFonts w:ascii="Arial" w:hAnsi="Arial" w:cs="Arial"/>
              </w:rPr>
              <w:t xml:space="preserve"> especial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271BEE" w:rsidRPr="00ED106F" w:rsidRDefault="002B0C72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 seis ejercicio anteriores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XXVI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dos ejercicios anteriores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XXVII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concesiones, contratos, convenios, permisos, licencias o autorizaciones otorgados, especificando los titulares de aquéllos, debiendo publicarse su objeto, nombre o razón social del titular, vigencia, tipo, términos, condiciones, monto </w:t>
            </w:r>
            <w:proofErr w:type="spellStart"/>
            <w:r w:rsidRPr="00ED106F">
              <w:rPr>
                <w:rFonts w:ascii="Arial" w:hAnsi="Arial" w:cs="Arial"/>
              </w:rPr>
              <w:t>ymodificaciones</w:t>
            </w:r>
            <w:proofErr w:type="spellEnd"/>
            <w:r w:rsidRPr="00ED106F">
              <w:rPr>
                <w:rFonts w:ascii="Arial" w:hAnsi="Arial" w:cs="Arial"/>
              </w:rPr>
              <w:t>, así como si el procedimiento involucra el aprovechamiento de bienes, servicios y/o recursos públicos</w:t>
            </w:r>
            <w:r w:rsidRPr="00ED106F">
              <w:rPr>
                <w:rFonts w:ascii="Arial" w:hAnsi="Arial" w:cs="Arial"/>
              </w:rPr>
              <w:t>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dos ejercicios anteriores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XXVIII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 información sobre los resultados sobre procedimientos de </w:t>
            </w:r>
            <w:r w:rsidRPr="00ED106F">
              <w:rPr>
                <w:rFonts w:ascii="Arial" w:hAnsi="Arial" w:cs="Arial"/>
              </w:rPr>
              <w:lastRenderedPageBreak/>
              <w:t>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A32C2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 xml:space="preserve">Información vigente; la generada en el ejercicio en </w:t>
            </w:r>
            <w:r w:rsidRPr="00ED106F">
              <w:rPr>
                <w:rFonts w:ascii="Arial" w:hAnsi="Arial" w:cs="Arial"/>
              </w:rPr>
              <w:lastRenderedPageBreak/>
              <w:t>curso y la correspondiente a dos ejercicios anteriores.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XXIX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informes que por disposición legal generen los sujetos obligados;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dos ejercicios anteriores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estadísticas que generen en cumplimiento de sus facultades, competencias o funciones con la mayor desagregación posible;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generada en el ejercicio en curso y la correspondiente a los últimos seis ejercicios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Informe de avances programáticos o presupuestales, balances generales y su estado financiero;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 más tardar 30 días naturales después del cierre del periodo que corresponda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los últimos seis ejercicios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Padrón de proveedores y contratistas;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inmediato anterior</w:t>
            </w: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convenios de coordinación de concertación con los sectores social y privado;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5655A4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Default="005655A4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 y los instrumentos jurídicos vigentes aun cuando éstos sean de ejercicios anteriores</w:t>
            </w:r>
          </w:p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7009BA" w:rsidRPr="00ED106F" w:rsidRDefault="007009BA" w:rsidP="00F628C6">
            <w:pPr>
              <w:jc w:val="center"/>
              <w:rPr>
                <w:rFonts w:ascii="Arial" w:hAnsi="Arial" w:cs="Arial"/>
              </w:rPr>
            </w:pPr>
          </w:p>
        </w:tc>
      </w:tr>
      <w:tr w:rsidR="00114DD8" w:rsidRPr="00271BEE" w:rsidTr="00114DD8">
        <w:tc>
          <w:tcPr>
            <w:tcW w:w="4106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262AB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XXXIV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inventario de bienes muebles e inmuebles en posesión y propiedad;</w:t>
            </w:r>
          </w:p>
        </w:tc>
        <w:tc>
          <w:tcPr>
            <w:tcW w:w="2545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262AB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Semestral</w:t>
            </w:r>
          </w:p>
        </w:tc>
        <w:tc>
          <w:tcPr>
            <w:tcW w:w="3177" w:type="dxa"/>
          </w:tcPr>
          <w:p w:rsidR="000D03D0" w:rsidRDefault="000D03D0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262AB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30 días hábiles después de adquirir o dar de baja algún bien</w:t>
            </w:r>
          </w:p>
        </w:tc>
        <w:tc>
          <w:tcPr>
            <w:tcW w:w="3168" w:type="dxa"/>
          </w:tcPr>
          <w:p w:rsidR="000D03D0" w:rsidRDefault="000D03D0" w:rsidP="00262ABB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262ABB" w:rsidP="00262ABB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concluido.</w:t>
            </w:r>
          </w:p>
        </w:tc>
      </w:tr>
      <w:tr w:rsidR="00114DD8" w:rsidRPr="00271BEE" w:rsidTr="00114DD8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262AB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</w:tr>
      <w:tr w:rsidR="00114DD8" w:rsidRPr="00271BEE" w:rsidTr="00114DD8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XXXVI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resoluciones y laudos que se emitan en procesos o procedimientos seguidos en forma de juicio;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</w:t>
            </w:r>
          </w:p>
        </w:tc>
      </w:tr>
      <w:tr w:rsidR="00114DD8" w:rsidRPr="00271BEE" w:rsidTr="00114DD8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XXXVII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mecanismos de participación ciudadana;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B214F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</w:t>
            </w:r>
          </w:p>
        </w:tc>
      </w:tr>
      <w:tr w:rsidR="00114DD8" w:rsidRPr="00271BEE" w:rsidTr="00114DD8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304CE3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XXXVIII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programas que ofrecen, incluyendo información sobre la población, objetivo y destino, así </w:t>
            </w:r>
            <w:r w:rsidRPr="00ED106F">
              <w:rPr>
                <w:rFonts w:ascii="Arial" w:hAnsi="Arial" w:cs="Arial"/>
              </w:rPr>
              <w:lastRenderedPageBreak/>
              <w:t>como los trámites, tiempos de respuesta, requisitos y formatos para acceder a los mismos;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304CE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304CE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2238FB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</w:t>
            </w:r>
            <w:r w:rsidR="00304CE3" w:rsidRPr="00ED106F">
              <w:rPr>
                <w:rFonts w:ascii="Arial" w:hAnsi="Arial" w:cs="Arial"/>
              </w:rPr>
              <w:t>nformación del ejercicio en curso y la correspondiente a los dos ejercicios anteriores</w:t>
            </w:r>
          </w:p>
        </w:tc>
      </w:tr>
      <w:tr w:rsidR="00114DD8" w:rsidRPr="00271BEE" w:rsidTr="00114DD8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114DD8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XXXIX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actas y resoluciones del Comité de Transparencia de los sujetos obligados;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Semestral y 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Semestral, respecto de las sesiones y resoluciones. En cuanto al calendario de las sesiones a celebrar, se publicará la información en el primer trimestre del ejercicio en curso. Respecto a los integrantes del Comité de transparencia, se actualizará trimestralmente la información correspondiente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114DD8" w:rsidRPr="00ED106F" w:rsidRDefault="001429D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al ejercicio anterior respecto a las sesiones y resoluciones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B01C8B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1429DA" w:rsidP="00B01C8B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="00B01C8B">
              <w:rPr>
                <w:rFonts w:ascii="Arial" w:hAnsi="Arial" w:cs="Arial"/>
              </w:rPr>
              <w:t xml:space="preserve"> </w:t>
            </w:r>
            <w:r w:rsidRPr="00ED106F">
              <w:rPr>
                <w:rFonts w:ascii="Arial" w:hAnsi="Arial" w:cs="Arial"/>
              </w:rPr>
              <w:t>Todas las evaluaciones y encuestas que hagan los sujetos obligados a programas financiados con recursos públicos;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generada en el ejercicio en curso y la correspondiente al ejercicio anterior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estudios financiados con recursos públicos;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En su caso, 30 días hábiles después de publicar los resultados del estudio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429DA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del ejercicio en curso y la correspondiente a dos ejercicios anteriores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F35A0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listado de jubilados y pensionados y el monto que reciben;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F35A0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F35A0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7009BA" w:rsidRDefault="002238FB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 xml:space="preserve">Información del ejercicio en curso y la correspondiente al </w:t>
            </w: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ejercicio anterior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Los ingresos recibidos por cualquier concepto señalando el nombre de los responsables de recibirlos, administrarlos y ejercerlos, </w:t>
            </w:r>
            <w:r w:rsidRPr="00ED106F">
              <w:rPr>
                <w:rFonts w:ascii="Arial" w:hAnsi="Arial" w:cs="Arial"/>
              </w:rPr>
              <w:lastRenderedPageBreak/>
              <w:t>así como su destino, indicando el destino de cada uno de ellos;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 y la correspondiente a dos ejercicios anteriores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XLIV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Donaciones hechas a terceros en dinero o en especie;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Semestral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2238FB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que se genere en el ejercicio en curso y la correspondiente al ejercicio anterior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XLV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El catálogo de disposición y guía de archivo documental;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XLVI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Las actas de sesiones ordinarias y extraordinarias, así como las opiniones y recomendaciones que emitan, en su caso, los consejos consultivos;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que se genere en el ejercicio en curso y la correspondiente al ejercicio anterior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Default="001506F3" w:rsidP="00F628C6">
            <w:pPr>
              <w:jc w:val="center"/>
              <w:rPr>
                <w:rFonts w:ascii="Arial" w:hAnsi="Arial" w:cs="Arial"/>
              </w:rPr>
            </w:pPr>
            <w:r w:rsidRPr="00B01C8B">
              <w:rPr>
                <w:rFonts w:ascii="Arial" w:hAnsi="Arial" w:cs="Arial"/>
                <w:b/>
              </w:rPr>
              <w:t>Fracción XLVII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</w:t>
            </w:r>
            <w:r w:rsidRPr="00ED106F">
              <w:rPr>
                <w:rFonts w:ascii="Arial" w:hAnsi="Arial" w:cs="Arial"/>
              </w:rPr>
              <w:t xml:space="preserve"> </w:t>
            </w:r>
            <w:r w:rsidRPr="00ED106F">
              <w:rPr>
                <w:rFonts w:ascii="Arial" w:hAnsi="Arial" w:cs="Arial"/>
              </w:rPr>
              <w:t>fundamentos legales del requerimiento, así como, en su caso, la mención de que cuenta con la autorización judicial correspondiente, y</w:t>
            </w:r>
          </w:p>
          <w:p w:rsidR="007009BA" w:rsidRPr="00ED106F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Default="001506F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que se genere en el ejercicio en curso y la correspondiente a los dos ejercicios anteriores</w:t>
            </w:r>
          </w:p>
          <w:p w:rsidR="007009BA" w:rsidRPr="00ED106F" w:rsidRDefault="007009BA" w:rsidP="00F628C6">
            <w:pPr>
              <w:jc w:val="center"/>
              <w:rPr>
                <w:rFonts w:ascii="Arial" w:hAnsi="Arial" w:cs="Arial"/>
              </w:rPr>
            </w:pP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>Fracción XLVIII</w:t>
            </w:r>
            <w:r w:rsidR="00B01C8B" w:rsidRPr="00B01C8B">
              <w:rPr>
                <w:rFonts w:ascii="Arial" w:hAnsi="Arial" w:cs="Arial"/>
                <w:b/>
              </w:rPr>
              <w:t>.</w:t>
            </w:r>
            <w:r w:rsidRPr="00ED106F">
              <w:rPr>
                <w:rFonts w:ascii="Arial" w:hAnsi="Arial" w:cs="Arial"/>
              </w:rPr>
              <w:t xml:space="preserve"> Cualquier otra información que sea de utilidad o se considere relevante, además de la que, con base en la información estadística, responda a las preguntas hechas con más frecuencia por el público</w:t>
            </w:r>
            <w:r w:rsidRPr="00ED106F">
              <w:rPr>
                <w:rFonts w:ascii="Arial" w:hAnsi="Arial" w:cs="Arial"/>
              </w:rPr>
              <w:t>.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Trimestral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</w:t>
            </w:r>
          </w:p>
        </w:tc>
      </w:tr>
      <w:tr w:rsidR="00262ABB" w:rsidRPr="00271BEE" w:rsidTr="00262ABB">
        <w:tc>
          <w:tcPr>
            <w:tcW w:w="4106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  <w:b/>
              </w:rPr>
            </w:pPr>
          </w:p>
          <w:p w:rsidR="00262ABB" w:rsidRPr="00ED106F" w:rsidRDefault="00B01C8B" w:rsidP="00F628C6">
            <w:pPr>
              <w:jc w:val="center"/>
              <w:rPr>
                <w:rFonts w:ascii="Arial" w:hAnsi="Arial" w:cs="Arial"/>
                <w:b/>
              </w:rPr>
            </w:pPr>
            <w:r w:rsidRPr="00B01C8B">
              <w:rPr>
                <w:rFonts w:ascii="Arial" w:hAnsi="Arial" w:cs="Arial"/>
                <w:b/>
              </w:rPr>
              <w:t xml:space="preserve">Último párrafo. </w:t>
            </w:r>
            <w:r w:rsidR="001506F3" w:rsidRPr="00ED106F">
              <w:rPr>
                <w:rFonts w:ascii="Arial" w:hAnsi="Arial" w:cs="Arial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</w:t>
            </w:r>
            <w:r w:rsidR="001506F3" w:rsidRPr="00ED106F">
              <w:rPr>
                <w:rFonts w:ascii="Arial" w:hAnsi="Arial" w:cs="Arial"/>
              </w:rPr>
              <w:t>.</w:t>
            </w:r>
          </w:p>
        </w:tc>
        <w:tc>
          <w:tcPr>
            <w:tcW w:w="2545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Anual</w:t>
            </w:r>
          </w:p>
        </w:tc>
        <w:tc>
          <w:tcPr>
            <w:tcW w:w="3177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  <w:b/>
              </w:rPr>
            </w:pPr>
            <w:r w:rsidRPr="00ED106F">
              <w:rPr>
                <w:rFonts w:ascii="Arial" w:hAnsi="Arial" w:cs="Arial"/>
              </w:rPr>
              <w:t>o---o</w:t>
            </w:r>
          </w:p>
        </w:tc>
        <w:tc>
          <w:tcPr>
            <w:tcW w:w="3168" w:type="dxa"/>
          </w:tcPr>
          <w:p w:rsidR="007009BA" w:rsidRDefault="007009BA" w:rsidP="00F628C6">
            <w:pPr>
              <w:jc w:val="center"/>
              <w:rPr>
                <w:rFonts w:ascii="Arial" w:hAnsi="Arial" w:cs="Arial"/>
              </w:rPr>
            </w:pPr>
          </w:p>
          <w:p w:rsidR="00262ABB" w:rsidRPr="00ED106F" w:rsidRDefault="001506F3" w:rsidP="00F628C6">
            <w:pPr>
              <w:jc w:val="center"/>
              <w:rPr>
                <w:rFonts w:ascii="Arial" w:hAnsi="Arial" w:cs="Arial"/>
              </w:rPr>
            </w:pPr>
            <w:r w:rsidRPr="00ED106F">
              <w:rPr>
                <w:rFonts w:ascii="Arial" w:hAnsi="Arial" w:cs="Arial"/>
              </w:rPr>
              <w:t>Información vigente y la generada en el ejercicio en curso</w:t>
            </w:r>
          </w:p>
        </w:tc>
      </w:tr>
    </w:tbl>
    <w:p w:rsidR="00271BEE" w:rsidRPr="00271BEE" w:rsidRDefault="00271BEE" w:rsidP="00271BEE">
      <w:pPr>
        <w:jc w:val="both"/>
        <w:rPr>
          <w:rFonts w:ascii="Arial" w:hAnsi="Arial" w:cs="Arial"/>
          <w:sz w:val="24"/>
          <w:szCs w:val="24"/>
        </w:rPr>
      </w:pPr>
    </w:p>
    <w:sectPr w:rsidR="00271BEE" w:rsidRPr="00271BEE" w:rsidSect="00DE3C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F6" w:rsidRDefault="00DD0FF6" w:rsidP="00541360">
      <w:pPr>
        <w:spacing w:after="0" w:line="240" w:lineRule="auto"/>
      </w:pPr>
      <w:r>
        <w:separator/>
      </w:r>
    </w:p>
  </w:endnote>
  <w:endnote w:type="continuationSeparator" w:id="0">
    <w:p w:rsidR="00DD0FF6" w:rsidRDefault="00DD0FF6" w:rsidP="0054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F6" w:rsidRDefault="00DD0FF6" w:rsidP="00541360">
      <w:pPr>
        <w:spacing w:after="0" w:line="240" w:lineRule="auto"/>
      </w:pPr>
      <w:r>
        <w:separator/>
      </w:r>
    </w:p>
  </w:footnote>
  <w:footnote w:type="continuationSeparator" w:id="0">
    <w:p w:rsidR="00DD0FF6" w:rsidRDefault="00DD0FF6" w:rsidP="00541360">
      <w:pPr>
        <w:spacing w:after="0" w:line="240" w:lineRule="auto"/>
      </w:pPr>
      <w:r>
        <w:continuationSeparator/>
      </w:r>
    </w:p>
  </w:footnote>
  <w:footnote w:id="1">
    <w:p w:rsidR="00271BEE" w:rsidRPr="00271BEE" w:rsidRDefault="00271BEE" w:rsidP="00271BEE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271BEE">
        <w:rPr>
          <w:rStyle w:val="Refdenotaalpie"/>
          <w:rFonts w:ascii="Arial" w:hAnsi="Arial" w:cs="Arial"/>
          <w:sz w:val="18"/>
          <w:szCs w:val="18"/>
        </w:rPr>
        <w:footnoteRef/>
      </w:r>
      <w:r w:rsidRPr="00271BEE">
        <w:rPr>
          <w:rFonts w:ascii="Arial" w:hAnsi="Arial" w:cs="Arial"/>
          <w:sz w:val="18"/>
          <w:szCs w:val="18"/>
        </w:rPr>
        <w:t xml:space="preserve"> </w:t>
      </w:r>
      <w:r w:rsidRPr="00271BEE">
        <w:rPr>
          <w:rFonts w:ascii="Arial" w:hAnsi="Arial" w:cs="Arial"/>
          <w:sz w:val="18"/>
          <w:szCs w:val="18"/>
        </w:rPr>
        <w:t>Tabla de actualización y conservación de las obligaciones de transparencia establecidas en el artículo 74 de la Ley de Transparencia y Acceso a la Información Pública del Estado de Campeche. Elaborada con base en el “ACUERDO MEDIANTE EL CUAL SE MODIFICAN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TRANSPARENCIA; ASÍ COMO LOS CRITERIOS Y FORMATOS CONTENIDOS EN LOS ANEXOS DE LOS PROPIOS LINEAMIENTOS, DERIVADO DE LA VERIFICACIÓN DIAGNÓSTICA REALIZADA POR LOS ORGANISMOS GARANTES DE LA FEDERACIÓN Y DE LAS ENTIDADES FEDERATIVAS; ASIMISMO SE MODIFICAN LAS DIRECTRICES DEL PLENO DEL CONSEJO NACIONAL DEL SISTEMA NACIONAL DE TRANSPARENCIA, ACCESO A LA INFORMACIÓN PÚBLICA Y PROTECCIÓN DE DATOS PERSONALES EN MATERIA DE VERIFICACIÓN DIAGNÓSTICA DE LAS OBLIGACIONES DE TRANSPARENCIA Y ATENCIÓN A LA DENUNCIA POR INCUMPLIMIENTO A LAS OBLIGACIONES DE TRANSPARENCIA”, publicado en el Diario Oficial de la Federación el 28 de diciembre de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D"/>
    <w:rsid w:val="000C4303"/>
    <w:rsid w:val="000D03D0"/>
    <w:rsid w:val="00114DD8"/>
    <w:rsid w:val="00140B89"/>
    <w:rsid w:val="001429DA"/>
    <w:rsid w:val="001506F3"/>
    <w:rsid w:val="001B214F"/>
    <w:rsid w:val="002238FB"/>
    <w:rsid w:val="00262ABB"/>
    <w:rsid w:val="00271BEE"/>
    <w:rsid w:val="002B0C72"/>
    <w:rsid w:val="002E374C"/>
    <w:rsid w:val="00304CE3"/>
    <w:rsid w:val="003577C8"/>
    <w:rsid w:val="003A188C"/>
    <w:rsid w:val="004B50C6"/>
    <w:rsid w:val="00503B2F"/>
    <w:rsid w:val="00541360"/>
    <w:rsid w:val="00557A31"/>
    <w:rsid w:val="005655A4"/>
    <w:rsid w:val="005E14DF"/>
    <w:rsid w:val="00610B46"/>
    <w:rsid w:val="00640AC3"/>
    <w:rsid w:val="007009BA"/>
    <w:rsid w:val="00715319"/>
    <w:rsid w:val="007B5FD3"/>
    <w:rsid w:val="00854E5D"/>
    <w:rsid w:val="0085734E"/>
    <w:rsid w:val="009E380B"/>
    <w:rsid w:val="00A11A23"/>
    <w:rsid w:val="00A32C2A"/>
    <w:rsid w:val="00B01C8B"/>
    <w:rsid w:val="00C555F1"/>
    <w:rsid w:val="00C86865"/>
    <w:rsid w:val="00D5117B"/>
    <w:rsid w:val="00DC3587"/>
    <w:rsid w:val="00DD0FF6"/>
    <w:rsid w:val="00DE3C93"/>
    <w:rsid w:val="00ED106F"/>
    <w:rsid w:val="00F10B42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5801-6F0F-4A66-B51D-31FD0DB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413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13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360"/>
    <w:rPr>
      <w:vertAlign w:val="superscript"/>
    </w:rPr>
  </w:style>
  <w:style w:type="table" w:styleId="Tablaconcuadrcula">
    <w:name w:val="Table Grid"/>
    <w:basedOn w:val="Tablanormal"/>
    <w:uiPriority w:val="39"/>
    <w:rsid w:val="00DE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4CAE-DE73-4BE0-A512-6BDDF1D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Moreno Lezama</dc:creator>
  <cp:keywords/>
  <dc:description/>
  <cp:lastModifiedBy>Alejandra Moreno Lezama</cp:lastModifiedBy>
  <cp:revision>2</cp:revision>
  <dcterms:created xsi:type="dcterms:W3CDTF">2020-03-17T17:03:00Z</dcterms:created>
  <dcterms:modified xsi:type="dcterms:W3CDTF">2020-03-17T17:03:00Z</dcterms:modified>
</cp:coreProperties>
</file>